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2687" w14:textId="77777777" w:rsidR="00C00CD0" w:rsidRDefault="00AE29B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8487F52" wp14:editId="00493C1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4CB348D0" w14:textId="77777777" w:rsidR="0063025B" w:rsidRDefault="0063025B">
      <w:pPr>
        <w:pStyle w:val="1"/>
        <w:ind w:firstLine="580"/>
      </w:pPr>
    </w:p>
    <w:p w14:paraId="4FBAFA7A" w14:textId="77777777" w:rsidR="0063025B" w:rsidRDefault="0063025B">
      <w:pPr>
        <w:pStyle w:val="1"/>
        <w:ind w:firstLine="580"/>
      </w:pPr>
    </w:p>
    <w:p w14:paraId="6ED78781" w14:textId="77777777" w:rsidR="0063025B" w:rsidRPr="003E2213" w:rsidRDefault="0063025B" w:rsidP="003E2213">
      <w:pPr>
        <w:pStyle w:val="1"/>
        <w:ind w:firstLine="580"/>
        <w:jc w:val="center"/>
        <w:rPr>
          <w:b/>
          <w:bCs/>
          <w:sz w:val="28"/>
          <w:szCs w:val="28"/>
        </w:rPr>
      </w:pPr>
      <w:r w:rsidRPr="003E2213">
        <w:rPr>
          <w:b/>
          <w:bCs/>
          <w:sz w:val="28"/>
          <w:szCs w:val="28"/>
        </w:rPr>
        <w:t>УВАГА.</w:t>
      </w:r>
    </w:p>
    <w:p w14:paraId="14DF5662" w14:textId="77777777" w:rsidR="0063025B" w:rsidRPr="003E2213" w:rsidRDefault="0063025B" w:rsidP="003E2213">
      <w:pPr>
        <w:pStyle w:val="1"/>
        <w:ind w:firstLine="580"/>
        <w:jc w:val="center"/>
        <w:rPr>
          <w:b/>
          <w:bCs/>
          <w:sz w:val="28"/>
          <w:szCs w:val="28"/>
        </w:rPr>
      </w:pPr>
      <w:r w:rsidRPr="003E2213">
        <w:rPr>
          <w:b/>
          <w:bCs/>
          <w:sz w:val="28"/>
          <w:szCs w:val="28"/>
        </w:rPr>
        <w:t>Відбулася зміна вартості лабораторних досліджень посівного матеріалу.</w:t>
      </w:r>
    </w:p>
    <w:p w14:paraId="57CCC970" w14:textId="77777777" w:rsidR="003E2213" w:rsidRDefault="003E2213">
      <w:pPr>
        <w:pStyle w:val="1"/>
        <w:ind w:firstLine="580"/>
      </w:pPr>
    </w:p>
    <w:p w14:paraId="0B390C90" w14:textId="71B83C5E" w:rsidR="0063025B" w:rsidRDefault="0063025B">
      <w:pPr>
        <w:pStyle w:val="1"/>
        <w:ind w:firstLine="580"/>
      </w:pPr>
      <w:r>
        <w:t>Наказ</w:t>
      </w:r>
      <w:r w:rsidR="003E2213">
        <w:t>ом</w:t>
      </w:r>
      <w:r>
        <w:t xml:space="preserve"> </w:t>
      </w:r>
      <w:r w:rsidRPr="0063025B">
        <w:t>Міністерства розвитку економіки , торгівлі та сільського господарства України від 25 лютого 2021 року № 395</w:t>
      </w:r>
      <w:r w:rsidR="003E2213">
        <w:t xml:space="preserve"> </w:t>
      </w:r>
      <w:proofErr w:type="spellStart"/>
      <w:r w:rsidR="003E2213">
        <w:t>внесено</w:t>
      </w:r>
      <w:proofErr w:type="spellEnd"/>
      <w:r w:rsidR="003E2213">
        <w:t xml:space="preserve"> зміни до Наказу </w:t>
      </w:r>
      <w:r w:rsidR="003E2213" w:rsidRPr="003E2213">
        <w:t>Міністерства аграрної політики та продовольства України 13 лютого 2013 року № 96</w:t>
      </w:r>
      <w:r w:rsidR="003E2213">
        <w:t xml:space="preserve"> що, призвело до зміни вартості лабораторних послуг які надаються </w:t>
      </w:r>
      <w:r w:rsidR="003E2213" w:rsidRPr="003E2213">
        <w:t>територіальними органами та бюджетними установами, що належать до сфери управління Державної служби України з питань безпечності харчових продуктів та захисту споживачів</w:t>
      </w:r>
      <w:r w:rsidR="003E2213">
        <w:t>.</w:t>
      </w:r>
    </w:p>
    <w:p w14:paraId="0757F3B8" w14:textId="77777777" w:rsidR="0090765A" w:rsidRDefault="0090765A" w:rsidP="00532B4F">
      <w:pPr>
        <w:pStyle w:val="1"/>
        <w:spacing w:line="240" w:lineRule="auto"/>
      </w:pPr>
    </w:p>
    <w:p w14:paraId="43F0DCCE" w14:textId="3EDB8A5D" w:rsidR="003E2213" w:rsidRPr="00532B4F" w:rsidRDefault="003E2213" w:rsidP="00532B4F">
      <w:pPr>
        <w:pStyle w:val="1"/>
        <w:spacing w:line="240" w:lineRule="auto"/>
      </w:pPr>
      <w:bookmarkStart w:id="0" w:name="_GoBack"/>
      <w:bookmarkEnd w:id="0"/>
      <w:r>
        <w:t xml:space="preserve">Таким чином, </w:t>
      </w:r>
      <w:r w:rsidRPr="00532B4F">
        <w:rPr>
          <w:b/>
          <w:bCs/>
        </w:rPr>
        <w:t xml:space="preserve">з </w:t>
      </w:r>
      <w:r w:rsidR="00532B4F" w:rsidRPr="00532B4F">
        <w:rPr>
          <w:b/>
          <w:bCs/>
        </w:rPr>
        <w:t>17.03.2021 року</w:t>
      </w:r>
      <w:r w:rsidR="00532B4F">
        <w:t>,</w:t>
      </w:r>
      <w:r>
        <w:t xml:space="preserve"> </w:t>
      </w:r>
      <w:r w:rsidRPr="00532B4F">
        <w:t>в</w:t>
      </w:r>
      <w:r w:rsidRPr="00532B4F">
        <w:t xml:space="preserve">артість дослідження одного зразка </w:t>
      </w:r>
      <w:r w:rsidRPr="00532B4F">
        <w:t xml:space="preserve">посівного матеріалу </w:t>
      </w:r>
      <w:r w:rsidRPr="00532B4F">
        <w:t>складає (без врахування ІІДВ):</w:t>
      </w:r>
    </w:p>
    <w:p w14:paraId="2AA0EB71" w14:textId="554B1FBC" w:rsidR="00532B4F" w:rsidRDefault="00532B4F" w:rsidP="00532B4F">
      <w:pPr>
        <w:pStyle w:val="1"/>
      </w:pPr>
      <w:r w:rsidRPr="00E27EB6">
        <w:t>аналізування чистоти та відходу насіння</w:t>
      </w:r>
      <w:r>
        <w:t xml:space="preserve"> – </w:t>
      </w:r>
      <w:r w:rsidRPr="00E643DD">
        <w:rPr>
          <w:b/>
          <w:bCs/>
        </w:rPr>
        <w:t>92,25</w:t>
      </w:r>
      <w:r>
        <w:t xml:space="preserve"> грн.;</w:t>
      </w:r>
    </w:p>
    <w:p w14:paraId="7A7527E3" w14:textId="221FAE55" w:rsidR="00532B4F" w:rsidRDefault="00532B4F" w:rsidP="00532B4F">
      <w:pPr>
        <w:pStyle w:val="1"/>
      </w:pPr>
      <w:r w:rsidRPr="00E27EB6">
        <w:t>аналізування домішки насіння інших рослин</w:t>
      </w:r>
      <w:r>
        <w:t xml:space="preserve"> – </w:t>
      </w:r>
      <w:r w:rsidRPr="00E643DD">
        <w:rPr>
          <w:b/>
          <w:bCs/>
        </w:rPr>
        <w:t>102,49</w:t>
      </w:r>
      <w:r>
        <w:t xml:space="preserve"> грн.;</w:t>
      </w:r>
    </w:p>
    <w:p w14:paraId="7B88277F" w14:textId="346FBB56" w:rsidR="00532B4F" w:rsidRDefault="00532B4F" w:rsidP="00532B4F">
      <w:pPr>
        <w:pStyle w:val="1"/>
      </w:pPr>
      <w:r w:rsidRPr="00E27EB6">
        <w:t>аналізування заселеності насіння шкідниками (прихована форма)</w:t>
      </w:r>
      <w:r>
        <w:t xml:space="preserve"> – </w:t>
      </w:r>
      <w:r w:rsidRPr="00E643DD">
        <w:rPr>
          <w:b/>
          <w:bCs/>
        </w:rPr>
        <w:t>73,37</w:t>
      </w:r>
      <w:r>
        <w:t xml:space="preserve"> грн.;</w:t>
      </w:r>
    </w:p>
    <w:p w14:paraId="3160330A" w14:textId="3D729E85" w:rsidR="00532B4F" w:rsidRDefault="00532B4F" w:rsidP="00532B4F">
      <w:pPr>
        <w:pStyle w:val="1"/>
      </w:pPr>
      <w:r w:rsidRPr="00E27EB6">
        <w:t>аналізування заселеності насіння шкідниками (явна форма)</w:t>
      </w:r>
      <w:r>
        <w:t xml:space="preserve"> – </w:t>
      </w:r>
      <w:r w:rsidRPr="00E643DD">
        <w:rPr>
          <w:b/>
          <w:bCs/>
        </w:rPr>
        <w:t>42,72</w:t>
      </w:r>
      <w:r>
        <w:t xml:space="preserve"> грн.;</w:t>
      </w:r>
    </w:p>
    <w:p w14:paraId="5292E2DE" w14:textId="71382AB5" w:rsidR="00532B4F" w:rsidRDefault="00532B4F" w:rsidP="00532B4F">
      <w:pPr>
        <w:pStyle w:val="1"/>
      </w:pPr>
      <w:r w:rsidRPr="0063025B">
        <w:t>аналізування зараженості насіння хворобами (соя)</w:t>
      </w:r>
      <w:r>
        <w:t xml:space="preserve"> – </w:t>
      </w:r>
      <w:r w:rsidRPr="00E643DD">
        <w:rPr>
          <w:b/>
          <w:bCs/>
        </w:rPr>
        <w:t>93,50</w:t>
      </w:r>
      <w:r>
        <w:t xml:space="preserve"> грн.;</w:t>
      </w:r>
    </w:p>
    <w:p w14:paraId="68164F7D" w14:textId="12CB4C28" w:rsidR="00532B4F" w:rsidRDefault="00532B4F" w:rsidP="00532B4F">
      <w:pPr>
        <w:pStyle w:val="1"/>
      </w:pPr>
      <w:r w:rsidRPr="0063025B">
        <w:t>аналізування схожості насіння</w:t>
      </w:r>
      <w:r>
        <w:t xml:space="preserve"> – </w:t>
      </w:r>
      <w:r w:rsidRPr="00E643DD">
        <w:rPr>
          <w:b/>
          <w:bCs/>
        </w:rPr>
        <w:t>102,72</w:t>
      </w:r>
      <w:r>
        <w:t xml:space="preserve"> грн.;</w:t>
      </w:r>
    </w:p>
    <w:p w14:paraId="3AF45D61" w14:textId="1C354B50" w:rsidR="00532B4F" w:rsidRDefault="00532B4F" w:rsidP="00532B4F">
      <w:pPr>
        <w:pStyle w:val="1"/>
      </w:pPr>
      <w:r w:rsidRPr="0063025B">
        <w:t xml:space="preserve">біохімічного </w:t>
      </w:r>
      <w:proofErr w:type="spellStart"/>
      <w:r w:rsidRPr="0063025B">
        <w:t>тетразольно</w:t>
      </w:r>
      <w:proofErr w:type="spellEnd"/>
      <w:r w:rsidRPr="0063025B">
        <w:t xml:space="preserve">-топографічного аналізування </w:t>
      </w:r>
      <w:proofErr w:type="spellStart"/>
      <w:r w:rsidRPr="0063025B">
        <w:t>життєдатності</w:t>
      </w:r>
      <w:proofErr w:type="spellEnd"/>
      <w:r w:rsidRPr="0063025B">
        <w:t xml:space="preserve"> насіння</w:t>
      </w:r>
      <w:r>
        <w:t xml:space="preserve"> – </w:t>
      </w:r>
      <w:r w:rsidRPr="00E643DD">
        <w:rPr>
          <w:b/>
          <w:bCs/>
        </w:rPr>
        <w:t>212,40</w:t>
      </w:r>
      <w:r>
        <w:t xml:space="preserve"> грн.;</w:t>
      </w:r>
    </w:p>
    <w:p w14:paraId="4BAF2C74" w14:textId="4396F90E" w:rsidR="00532B4F" w:rsidRDefault="00532B4F" w:rsidP="00532B4F">
      <w:pPr>
        <w:pStyle w:val="1"/>
      </w:pPr>
      <w:r w:rsidRPr="0063025B">
        <w:t>аналізування вологості насіння</w:t>
      </w:r>
      <w:r>
        <w:t xml:space="preserve"> – </w:t>
      </w:r>
      <w:r w:rsidRPr="00E643DD">
        <w:rPr>
          <w:b/>
          <w:bCs/>
        </w:rPr>
        <w:t>119,86</w:t>
      </w:r>
      <w:r>
        <w:t xml:space="preserve"> грн.;</w:t>
      </w:r>
    </w:p>
    <w:p w14:paraId="1A492C4B" w14:textId="11DD6262" w:rsidR="00532B4F" w:rsidRDefault="00532B4F" w:rsidP="00532B4F">
      <w:pPr>
        <w:pStyle w:val="1"/>
      </w:pPr>
      <w:r w:rsidRPr="0063025B">
        <w:t>аналізування маси 1000 насінин</w:t>
      </w:r>
      <w:r>
        <w:t xml:space="preserve"> – </w:t>
      </w:r>
      <w:r w:rsidRPr="00E643DD">
        <w:t>60,20</w:t>
      </w:r>
      <w:r>
        <w:t xml:space="preserve"> грн.;</w:t>
      </w:r>
    </w:p>
    <w:p w14:paraId="6D879CCC" w14:textId="77777777" w:rsidR="0063025B" w:rsidRDefault="0063025B">
      <w:pPr>
        <w:pStyle w:val="1"/>
        <w:ind w:firstLine="580"/>
      </w:pPr>
    </w:p>
    <w:p w14:paraId="41B0CFDA" w14:textId="73B7CE6B" w:rsidR="00C00CD0" w:rsidRDefault="00AE29BB" w:rsidP="00E643DD">
      <w:pPr>
        <w:pStyle w:val="1"/>
        <w:ind w:firstLine="0"/>
      </w:pPr>
      <w:r>
        <w:t>Лабораторія акредитована на відповідність вимогам ДСТУ ISO/1EC 1 7025 у тому числі і в сфері визначення посівних якостей насіння сільськогосподарських культур .</w:t>
      </w:r>
    </w:p>
    <w:p w14:paraId="260412A4" w14:textId="14659CD1" w:rsidR="0063025B" w:rsidRDefault="00AE29BB" w:rsidP="00E643DD">
      <w:pPr>
        <w:pStyle w:val="1"/>
        <w:spacing w:after="340"/>
        <w:ind w:firstLine="360"/>
      </w:pPr>
      <w:r>
        <w:t>За результатами досліджень за</w:t>
      </w:r>
      <w:r>
        <w:t>мовники отримують протоколи випробувань</w:t>
      </w:r>
      <w:r w:rsidR="00E643DD">
        <w:t>.</w:t>
      </w:r>
    </w:p>
    <w:p w14:paraId="6F546C58" w14:textId="3E11AC96" w:rsidR="00C00CD0" w:rsidRDefault="00AE29BB">
      <w:pPr>
        <w:pStyle w:val="1"/>
        <w:ind w:firstLine="0"/>
      </w:pPr>
      <w:r>
        <w:t>З питань визначення показників якості</w:t>
      </w:r>
      <w:r>
        <w:t xml:space="preserve"> насіння, що характеризують його придатність до сівби, звертатися за </w:t>
      </w:r>
      <w:proofErr w:type="spellStart"/>
      <w:r>
        <w:t>адресою</w:t>
      </w:r>
      <w:proofErr w:type="spellEnd"/>
      <w:r>
        <w:t xml:space="preserve">: 25006 м. Кропивницький (Кіровоград), вул. Велика Пермська. 58/1 </w:t>
      </w:r>
      <w:proofErr w:type="spellStart"/>
      <w:r>
        <w:t>тел</w:t>
      </w:r>
      <w:proofErr w:type="spellEnd"/>
      <w:r>
        <w:t xml:space="preserve">. (0522) </w:t>
      </w:r>
      <w:r w:rsidR="00E643DD">
        <w:t>33-88-78</w:t>
      </w:r>
      <w:r>
        <w:t xml:space="preserve"> (відділ приймання зразків).</w:t>
      </w:r>
    </w:p>
    <w:p w14:paraId="14CD6FD8" w14:textId="489BC4FE" w:rsidR="00C00CD0" w:rsidRDefault="00AE29BB">
      <w:pPr>
        <w:pStyle w:val="1"/>
        <w:ind w:firstLine="700"/>
      </w:pPr>
      <w:r>
        <w:t xml:space="preserve">Електронна адреса: </w:t>
      </w:r>
      <w:hyperlink r:id="rId6" w:history="1">
        <w:r w:rsidR="00E643DD" w:rsidRPr="00E643DD">
          <w:rPr>
            <w:rStyle w:val="a4"/>
            <w:color w:val="auto"/>
            <w:lang w:val="en-US"/>
          </w:rPr>
          <w:t>kirlab.dpss</w:t>
        </w:r>
        <w:r w:rsidR="00E643DD" w:rsidRPr="00E643DD">
          <w:rPr>
            <w:rStyle w:val="a4"/>
            <w:color w:val="auto"/>
          </w:rPr>
          <w:t>@ukr.net</w:t>
        </w:r>
      </w:hyperlink>
    </w:p>
    <w:sectPr w:rsidR="00C00CD0">
      <w:pgSz w:w="11900" w:h="16840"/>
      <w:pgMar w:top="1146" w:right="781" w:bottom="1146" w:left="977" w:header="718" w:footer="7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0FBD" w14:textId="77777777" w:rsidR="00AE29BB" w:rsidRDefault="00AE29BB">
      <w:r>
        <w:separator/>
      </w:r>
    </w:p>
  </w:endnote>
  <w:endnote w:type="continuationSeparator" w:id="0">
    <w:p w14:paraId="39489AD3" w14:textId="77777777" w:rsidR="00AE29BB" w:rsidRDefault="00A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53A" w14:textId="77777777" w:rsidR="00AE29BB" w:rsidRDefault="00AE29BB"/>
  </w:footnote>
  <w:footnote w:type="continuationSeparator" w:id="0">
    <w:p w14:paraId="108DA526" w14:textId="77777777" w:rsidR="00AE29BB" w:rsidRDefault="00AE29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D0"/>
    <w:rsid w:val="003E2213"/>
    <w:rsid w:val="00532B4F"/>
    <w:rsid w:val="0063025B"/>
    <w:rsid w:val="007D62E8"/>
    <w:rsid w:val="0090765A"/>
    <w:rsid w:val="00AE29BB"/>
    <w:rsid w:val="00C00CD0"/>
    <w:rsid w:val="00E27EB6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2BE"/>
  <w15:docId w15:val="{AE875C0E-062E-439E-9FA3-BBC2757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133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color w:val="303133"/>
      <w:sz w:val="22"/>
      <w:szCs w:val="22"/>
    </w:rPr>
  </w:style>
  <w:style w:type="character" w:styleId="a4">
    <w:name w:val="Hyperlink"/>
    <w:basedOn w:val="a0"/>
    <w:uiPriority w:val="99"/>
    <w:unhideWhenUsed/>
    <w:rsid w:val="00E643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lab.dpss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4</cp:revision>
  <dcterms:created xsi:type="dcterms:W3CDTF">2021-04-24T12:00:00Z</dcterms:created>
  <dcterms:modified xsi:type="dcterms:W3CDTF">2021-04-24T12:22:00Z</dcterms:modified>
</cp:coreProperties>
</file>